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610" w:rsidRPr="00CF7610" w:rsidRDefault="00CF7610" w:rsidP="00CF7610">
      <w:pPr>
        <w:overflowPunct w:val="0"/>
        <w:autoSpaceDE w:val="0"/>
        <w:autoSpaceDN w:val="0"/>
        <w:adjustRightInd w:val="0"/>
        <w:ind w:right="144"/>
        <w:textAlignment w:val="baseline"/>
        <w:rPr>
          <w:rFonts w:ascii="Times New Roman" w:eastAsia="Times New Roman" w:hAnsi="Times New Roman"/>
          <w:color w:val="000000"/>
          <w:sz w:val="28"/>
          <w:szCs w:val="28"/>
          <w:lang w:val="en-US"/>
        </w:rPr>
      </w:pPr>
      <w:bookmarkStart w:id="0" w:name="_GoBack"/>
      <w:bookmarkEnd w:id="0"/>
      <w:r>
        <w:rPr>
          <w:rFonts w:ascii="Times New Roman" w:eastAsia="Times New Roman" w:hAnsi="Times New Roman"/>
          <w:noProof/>
          <w:sz w:val="28"/>
          <w:szCs w:val="28"/>
          <w:lang w:eastAsia="en-CA"/>
        </w:rPr>
        <w:drawing>
          <wp:anchor distT="0" distB="0" distL="114300" distR="114300" simplePos="0" relativeHeight="251659264" behindDoc="0" locked="0" layoutInCell="1" allowOverlap="1" wp14:anchorId="273617F8" wp14:editId="61424156">
            <wp:simplePos x="0" y="0"/>
            <wp:positionH relativeFrom="column">
              <wp:posOffset>234757</wp:posOffset>
            </wp:positionH>
            <wp:positionV relativeFrom="paragraph">
              <wp:posOffset>-196298</wp:posOffset>
            </wp:positionV>
            <wp:extent cx="735965" cy="643890"/>
            <wp:effectExtent l="95250" t="95250" r="83185" b="990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42410">
                      <a:off x="0" y="0"/>
                      <a:ext cx="73596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Times New Roman" w:hAnsi="Book Antiqua"/>
          <w:b/>
          <w:iCs/>
          <w:sz w:val="28"/>
          <w:szCs w:val="28"/>
          <w:lang w:val="en-US"/>
        </w:rPr>
        <w:t xml:space="preserve">                           </w:t>
      </w:r>
      <w:r w:rsidRPr="00CF7610">
        <w:rPr>
          <w:rFonts w:ascii="Book Antiqua" w:eastAsia="Times New Roman" w:hAnsi="Book Antiqua"/>
          <w:b/>
          <w:iCs/>
          <w:sz w:val="28"/>
          <w:szCs w:val="28"/>
          <w:lang w:val="en-US"/>
        </w:rPr>
        <w:t xml:space="preserve">  </w:t>
      </w:r>
      <w:r w:rsidR="00E20D9D">
        <w:rPr>
          <w:rFonts w:ascii="Book Antiqua" w:eastAsia="Times New Roman" w:hAnsi="Book Antiqua"/>
          <w:b/>
          <w:iCs/>
          <w:sz w:val="28"/>
          <w:szCs w:val="28"/>
          <w:lang w:val="en-US"/>
        </w:rPr>
        <w:t xml:space="preserve">        </w:t>
      </w:r>
      <w:r w:rsidRPr="00CF7610">
        <w:rPr>
          <w:rFonts w:ascii="Book Antiqua" w:eastAsia="Times New Roman" w:hAnsi="Book Antiqua"/>
          <w:b/>
          <w:iCs/>
          <w:sz w:val="28"/>
          <w:szCs w:val="28"/>
          <w:lang w:val="en-US"/>
        </w:rPr>
        <w:t xml:space="preserve"> </w:t>
      </w:r>
      <w:r w:rsidRPr="00CF7610">
        <w:rPr>
          <w:rFonts w:ascii="Cambria" w:eastAsia="Times New Roman" w:hAnsi="Cambria"/>
          <w:b/>
          <w:iCs/>
          <w:sz w:val="28"/>
          <w:szCs w:val="28"/>
          <w:lang w:val="en-US"/>
        </w:rPr>
        <w:t>Vital Victoria Naturopathic Clinic Ltd.</w:t>
      </w:r>
    </w:p>
    <w:p w:rsidR="00CF7610" w:rsidRPr="00CF7610" w:rsidRDefault="00CF7610" w:rsidP="00CF7610">
      <w:pPr>
        <w:widowControl w:val="0"/>
        <w:overflowPunct w:val="0"/>
        <w:autoSpaceDE w:val="0"/>
        <w:autoSpaceDN w:val="0"/>
        <w:adjustRightInd w:val="0"/>
        <w:jc w:val="center"/>
        <w:textAlignment w:val="baseline"/>
        <w:rPr>
          <w:rFonts w:ascii="Cambria" w:eastAsia="Times New Roman" w:hAnsi="Cambria"/>
          <w:b/>
          <w:sz w:val="28"/>
          <w:szCs w:val="28"/>
          <w:lang w:val="en-US"/>
        </w:rPr>
      </w:pPr>
      <w:r w:rsidRPr="00CF7610">
        <w:rPr>
          <w:rFonts w:ascii="Cambria" w:eastAsia="Times New Roman" w:hAnsi="Cambria"/>
          <w:b/>
          <w:sz w:val="28"/>
          <w:szCs w:val="28"/>
          <w:lang w:val="en-US"/>
        </w:rPr>
        <w:t>Dr. Neil McKinney, B.Sc., N.D.</w:t>
      </w:r>
    </w:p>
    <w:p w:rsidR="00CF7610" w:rsidRPr="00CF7610" w:rsidRDefault="00CF7610" w:rsidP="00CF7610">
      <w:pPr>
        <w:keepNext/>
        <w:overflowPunct w:val="0"/>
        <w:autoSpaceDE w:val="0"/>
        <w:autoSpaceDN w:val="0"/>
        <w:adjustRightInd w:val="0"/>
        <w:ind w:right="144"/>
        <w:jc w:val="center"/>
        <w:textAlignment w:val="baseline"/>
        <w:outlineLvl w:val="2"/>
        <w:rPr>
          <w:rFonts w:ascii="Cambria" w:eastAsia="Times New Roman" w:hAnsi="Cambria"/>
          <w:sz w:val="28"/>
          <w:szCs w:val="28"/>
          <w:lang w:val="en-US"/>
        </w:rPr>
      </w:pPr>
      <w:r w:rsidRPr="00CF7610">
        <w:rPr>
          <w:rFonts w:ascii="Cambria" w:eastAsia="Times New Roman" w:hAnsi="Cambria"/>
          <w:sz w:val="28"/>
          <w:szCs w:val="28"/>
          <w:lang w:val="en-US"/>
        </w:rPr>
        <w:t xml:space="preserve">Naturopathic Physician </w:t>
      </w:r>
    </w:p>
    <w:p w:rsidR="00CF7610" w:rsidRPr="00CF7610" w:rsidRDefault="00CF7610" w:rsidP="00CF7610">
      <w:pPr>
        <w:keepNext/>
        <w:overflowPunct w:val="0"/>
        <w:autoSpaceDE w:val="0"/>
        <w:autoSpaceDN w:val="0"/>
        <w:adjustRightInd w:val="0"/>
        <w:ind w:right="144"/>
        <w:textAlignment w:val="baseline"/>
        <w:outlineLvl w:val="3"/>
        <w:rPr>
          <w:rFonts w:ascii="Cambria" w:eastAsia="Times New Roman" w:hAnsi="Cambria"/>
          <w:b/>
          <w:color w:val="000000"/>
          <w:sz w:val="24"/>
          <w:szCs w:val="24"/>
          <w:lang w:val="en-US"/>
        </w:rPr>
      </w:pPr>
      <w:r>
        <w:rPr>
          <w:rFonts w:ascii="Cambria" w:eastAsia="Times New Roman" w:hAnsi="Cambria"/>
          <w:b/>
          <w:sz w:val="24"/>
          <w:szCs w:val="24"/>
          <w:lang w:val="en-US"/>
        </w:rPr>
        <w:t xml:space="preserve">Reg.# 032 CNPBC      MSP# 30046    </w:t>
      </w:r>
      <w:r w:rsidRPr="00CF7610">
        <w:rPr>
          <w:rFonts w:ascii="Cambria" w:eastAsia="Times New Roman" w:hAnsi="Cambria"/>
          <w:b/>
          <w:sz w:val="24"/>
          <w:szCs w:val="24"/>
          <w:lang w:val="en-US"/>
        </w:rPr>
        <w:t xml:space="preserve"> Prescriptive ID: 97-00032   GST/Business #817275878</w:t>
      </w:r>
    </w:p>
    <w:p w:rsidR="00CF7610" w:rsidRDefault="00CF7610" w:rsidP="00CF7610">
      <w:pPr>
        <w:keepNext/>
        <w:tabs>
          <w:tab w:val="left" w:pos="10440"/>
        </w:tabs>
        <w:overflowPunct w:val="0"/>
        <w:autoSpaceDE w:val="0"/>
        <w:autoSpaceDN w:val="0"/>
        <w:adjustRightInd w:val="0"/>
        <w:ind w:right="144"/>
        <w:textAlignment w:val="baseline"/>
        <w:outlineLvl w:val="4"/>
        <w:rPr>
          <w:rFonts w:ascii="Cambria" w:eastAsia="Times New Roman" w:hAnsi="Cambria"/>
          <w:sz w:val="24"/>
          <w:szCs w:val="24"/>
          <w:lang w:val="en-US"/>
        </w:rPr>
      </w:pPr>
      <w:r w:rsidRPr="00CF7610">
        <w:rPr>
          <w:rFonts w:ascii="Cambria" w:eastAsia="Times New Roman" w:hAnsi="Cambria"/>
          <w:color w:val="000000"/>
          <w:sz w:val="24"/>
          <w:szCs w:val="24"/>
          <w:lang w:val="en-US"/>
        </w:rPr>
        <w:t xml:space="preserve"> </w:t>
      </w:r>
      <w:r>
        <w:rPr>
          <w:rFonts w:ascii="Cambria" w:eastAsia="Times New Roman" w:hAnsi="Cambria"/>
          <w:color w:val="000000"/>
          <w:sz w:val="24"/>
          <w:szCs w:val="24"/>
          <w:lang w:val="en-US"/>
        </w:rPr>
        <w:t xml:space="preserve">       </w:t>
      </w:r>
      <w:r w:rsidRPr="00CF7610">
        <w:rPr>
          <w:rFonts w:ascii="Cambria" w:eastAsia="Times New Roman" w:hAnsi="Cambria"/>
          <w:color w:val="000000"/>
          <w:sz w:val="24"/>
          <w:szCs w:val="24"/>
          <w:lang w:val="en-US"/>
        </w:rPr>
        <w:t>964 Woodhall Drive</w:t>
      </w:r>
      <w:r>
        <w:rPr>
          <w:rFonts w:ascii="Cambria" w:eastAsia="Times New Roman" w:hAnsi="Cambria"/>
          <w:color w:val="000000"/>
          <w:sz w:val="24"/>
          <w:szCs w:val="24"/>
          <w:lang w:val="en-US"/>
        </w:rPr>
        <w:t xml:space="preserve">, Victoria, B.C. </w:t>
      </w:r>
      <w:r w:rsidRPr="00CF7610">
        <w:rPr>
          <w:rFonts w:ascii="Cambria" w:eastAsia="Times New Roman" w:hAnsi="Cambria"/>
          <w:color w:val="000000"/>
          <w:sz w:val="24"/>
          <w:szCs w:val="24"/>
          <w:lang w:val="en-US"/>
        </w:rPr>
        <w:t>V8</w:t>
      </w:r>
      <w:r>
        <w:rPr>
          <w:rFonts w:ascii="Cambria" w:eastAsia="Times New Roman" w:hAnsi="Cambria"/>
          <w:color w:val="000000"/>
          <w:sz w:val="24"/>
          <w:szCs w:val="24"/>
          <w:lang w:val="en-US"/>
        </w:rPr>
        <w:t xml:space="preserve">X 3L8      </w:t>
      </w:r>
      <w:r w:rsidRPr="00CF7610">
        <w:rPr>
          <w:rFonts w:ascii="Cambria" w:eastAsia="Times New Roman" w:hAnsi="Cambria"/>
          <w:color w:val="000000"/>
          <w:sz w:val="24"/>
          <w:szCs w:val="24"/>
          <w:lang w:val="en-US"/>
        </w:rPr>
        <w:t>Ph:</w:t>
      </w:r>
      <w:r>
        <w:rPr>
          <w:rFonts w:ascii="Cambria" w:eastAsia="Times New Roman" w:hAnsi="Cambria"/>
          <w:color w:val="000000"/>
          <w:sz w:val="24"/>
          <w:szCs w:val="24"/>
          <w:lang w:val="en-US"/>
        </w:rPr>
        <w:t xml:space="preserve"> (250)</w:t>
      </w:r>
      <w:r w:rsidRPr="00CF7610">
        <w:rPr>
          <w:rFonts w:ascii="Cambria" w:eastAsia="Times New Roman" w:hAnsi="Cambria"/>
          <w:color w:val="000000"/>
          <w:sz w:val="24"/>
          <w:szCs w:val="24"/>
          <w:lang w:val="en-US"/>
        </w:rPr>
        <w:t xml:space="preserve">386-3534 </w:t>
      </w:r>
      <w:r>
        <w:rPr>
          <w:rFonts w:ascii="Cambria" w:eastAsia="Times New Roman" w:hAnsi="Cambria"/>
          <w:color w:val="000000"/>
          <w:sz w:val="24"/>
          <w:szCs w:val="24"/>
          <w:lang w:val="en-US"/>
        </w:rPr>
        <w:t xml:space="preserve">   </w:t>
      </w:r>
      <w:r w:rsidRPr="00CF7610">
        <w:rPr>
          <w:rFonts w:ascii="Cambria" w:eastAsia="Times New Roman" w:hAnsi="Cambria"/>
          <w:sz w:val="24"/>
          <w:szCs w:val="24"/>
          <w:lang w:val="en-US"/>
        </w:rPr>
        <w:t xml:space="preserve">Fax: (250) 386-3500 </w:t>
      </w:r>
    </w:p>
    <w:p w:rsidR="00CF7610" w:rsidRDefault="00CF7610" w:rsidP="00CF7610">
      <w:pPr>
        <w:keepNext/>
        <w:tabs>
          <w:tab w:val="left" w:pos="10440"/>
        </w:tabs>
        <w:overflowPunct w:val="0"/>
        <w:autoSpaceDE w:val="0"/>
        <w:autoSpaceDN w:val="0"/>
        <w:adjustRightInd w:val="0"/>
        <w:ind w:right="144"/>
        <w:textAlignment w:val="baseline"/>
        <w:outlineLvl w:val="4"/>
        <w:rPr>
          <w:rFonts w:ascii="Cambria" w:eastAsia="Times New Roman" w:hAnsi="Cambria"/>
          <w:sz w:val="24"/>
          <w:szCs w:val="24"/>
          <w:lang w:val="en-US"/>
        </w:rPr>
      </w:pPr>
      <w:r>
        <w:rPr>
          <w:rFonts w:ascii="Cambria" w:eastAsia="Times New Roman" w:hAnsi="Cambria"/>
          <w:sz w:val="24"/>
          <w:szCs w:val="24"/>
          <w:lang w:val="en-US"/>
        </w:rPr>
        <w:t xml:space="preserve">                </w:t>
      </w:r>
      <w:r w:rsidRPr="00CF7610">
        <w:rPr>
          <w:rFonts w:ascii="Cambria" w:eastAsia="Times New Roman" w:hAnsi="Cambria"/>
          <w:sz w:val="24"/>
          <w:szCs w:val="24"/>
          <w:lang w:val="en-US"/>
        </w:rPr>
        <w:t xml:space="preserve">    </w:t>
      </w:r>
      <w:r>
        <w:rPr>
          <w:rFonts w:ascii="Cambria" w:eastAsia="Times New Roman" w:hAnsi="Cambria"/>
          <w:sz w:val="24"/>
          <w:szCs w:val="24"/>
          <w:lang w:val="en-US"/>
        </w:rPr>
        <w:t xml:space="preserve">    </w:t>
      </w:r>
      <w:r w:rsidRPr="00CF7610">
        <w:rPr>
          <w:rFonts w:ascii="Cambria" w:eastAsia="Times New Roman" w:hAnsi="Cambria"/>
          <w:b/>
          <w:color w:val="0000FF"/>
          <w:sz w:val="24"/>
          <w:szCs w:val="24"/>
          <w:lang w:val="en-US"/>
        </w:rPr>
        <w:t>website: www.drneilmckinney.ca</w:t>
      </w:r>
      <w:r w:rsidRPr="00CF7610">
        <w:rPr>
          <w:rFonts w:ascii="Cambria" w:eastAsia="Times New Roman" w:hAnsi="Cambria"/>
          <w:color w:val="800000"/>
          <w:sz w:val="24"/>
          <w:szCs w:val="24"/>
          <w:lang w:val="en-US"/>
        </w:rPr>
        <w:t xml:space="preserve">      </w:t>
      </w:r>
      <w:r w:rsidRPr="00CF7610">
        <w:rPr>
          <w:rFonts w:ascii="Cambria" w:eastAsia="Times New Roman" w:hAnsi="Cambria"/>
          <w:sz w:val="24"/>
          <w:szCs w:val="24"/>
          <w:lang w:val="en-US"/>
        </w:rPr>
        <w:t xml:space="preserve">E-Mail: drneilmckinney@shaw.ca   </w:t>
      </w:r>
    </w:p>
    <w:p w:rsidR="00CF7610" w:rsidRDefault="00CF7610" w:rsidP="00CF7610">
      <w:pPr>
        <w:keepNext/>
        <w:tabs>
          <w:tab w:val="left" w:pos="10440"/>
        </w:tabs>
        <w:overflowPunct w:val="0"/>
        <w:autoSpaceDE w:val="0"/>
        <w:autoSpaceDN w:val="0"/>
        <w:adjustRightInd w:val="0"/>
        <w:ind w:right="144"/>
        <w:textAlignment w:val="baseline"/>
        <w:outlineLvl w:val="4"/>
        <w:rPr>
          <w:rFonts w:ascii="Cambria" w:eastAsia="Times New Roman" w:hAnsi="Cambria"/>
          <w:sz w:val="24"/>
          <w:szCs w:val="24"/>
          <w:lang w:val="en-US"/>
        </w:rPr>
      </w:pPr>
    </w:p>
    <w:p w:rsidR="00CF7610" w:rsidRDefault="00CF7610" w:rsidP="00CF7610">
      <w:pPr>
        <w:keepNext/>
        <w:tabs>
          <w:tab w:val="left" w:pos="10440"/>
        </w:tabs>
        <w:overflowPunct w:val="0"/>
        <w:autoSpaceDE w:val="0"/>
        <w:autoSpaceDN w:val="0"/>
        <w:adjustRightInd w:val="0"/>
        <w:ind w:right="144"/>
        <w:textAlignment w:val="baseline"/>
        <w:outlineLvl w:val="4"/>
        <w:rPr>
          <w:rFonts w:ascii="Cambria" w:eastAsia="Times New Roman" w:hAnsi="Cambria"/>
          <w:b/>
          <w:sz w:val="28"/>
          <w:szCs w:val="28"/>
          <w:lang w:val="en-US"/>
        </w:rPr>
      </w:pPr>
      <w:r>
        <w:rPr>
          <w:rFonts w:ascii="Cambria" w:eastAsia="Times New Roman" w:hAnsi="Cambria"/>
          <w:sz w:val="24"/>
          <w:szCs w:val="24"/>
          <w:lang w:val="en-US"/>
        </w:rPr>
        <w:t xml:space="preserve">                                             </w:t>
      </w:r>
      <w:r w:rsidRPr="00CF7610">
        <w:rPr>
          <w:rFonts w:ascii="Cambria" w:eastAsia="Times New Roman" w:hAnsi="Cambria"/>
          <w:b/>
          <w:sz w:val="28"/>
          <w:szCs w:val="28"/>
          <w:lang w:val="en-US"/>
        </w:rPr>
        <w:t xml:space="preserve">The Metabolic Approach to Healing Cancer        </w:t>
      </w:r>
    </w:p>
    <w:p w:rsidR="009721ED" w:rsidRPr="00CF7610" w:rsidRDefault="00CF7610" w:rsidP="00CF7610">
      <w:pPr>
        <w:keepNext/>
        <w:tabs>
          <w:tab w:val="left" w:pos="10440"/>
        </w:tabs>
        <w:overflowPunct w:val="0"/>
        <w:autoSpaceDE w:val="0"/>
        <w:autoSpaceDN w:val="0"/>
        <w:adjustRightInd w:val="0"/>
        <w:ind w:right="144"/>
        <w:textAlignment w:val="baseline"/>
        <w:outlineLvl w:val="4"/>
        <w:rPr>
          <w:rFonts w:ascii="Cambria" w:eastAsia="Times New Roman" w:hAnsi="Cambria"/>
          <w:b/>
          <w:color w:val="000000"/>
          <w:sz w:val="28"/>
          <w:szCs w:val="28"/>
          <w:lang w:val="en-US"/>
        </w:rPr>
      </w:pPr>
      <w:r w:rsidRPr="00CF7610">
        <w:rPr>
          <w:rFonts w:ascii="Cambria" w:eastAsia="Times New Roman" w:hAnsi="Cambria"/>
          <w:b/>
          <w:sz w:val="28"/>
          <w:szCs w:val="28"/>
          <w:lang w:val="en-US"/>
        </w:rPr>
        <w:t xml:space="preserve">     </w:t>
      </w:r>
    </w:p>
    <w:p w:rsidR="00CC5E02" w:rsidRDefault="009721ED" w:rsidP="009721ED">
      <w:pPr>
        <w:rPr>
          <w:sz w:val="24"/>
          <w:szCs w:val="24"/>
        </w:rPr>
      </w:pPr>
      <w:r w:rsidRPr="00CF7610">
        <w:rPr>
          <w:sz w:val="24"/>
          <w:szCs w:val="24"/>
        </w:rPr>
        <w:t>I have been working on a new cancer therapy based on sparking up the oxidative metabolism in cancer cells – this is described in pages 179-185 of my book 3</w:t>
      </w:r>
      <w:r w:rsidRPr="00CF7610">
        <w:rPr>
          <w:sz w:val="24"/>
          <w:szCs w:val="24"/>
          <w:vertAlign w:val="superscript"/>
        </w:rPr>
        <w:t>rd</w:t>
      </w:r>
      <w:r w:rsidRPr="00CF7610">
        <w:rPr>
          <w:sz w:val="24"/>
          <w:szCs w:val="24"/>
        </w:rPr>
        <w:t xml:space="preserve"> edition (pages </w:t>
      </w:r>
      <w:r w:rsidR="00C20662">
        <w:rPr>
          <w:sz w:val="24"/>
          <w:szCs w:val="24"/>
        </w:rPr>
        <w:t xml:space="preserve">142-146 of the new PDF) </w:t>
      </w:r>
      <w:r w:rsidRPr="00CF7610">
        <w:rPr>
          <w:sz w:val="24"/>
          <w:szCs w:val="24"/>
        </w:rPr>
        <w:t>if you are inte</w:t>
      </w:r>
      <w:r w:rsidR="00EC08F8">
        <w:rPr>
          <w:sz w:val="24"/>
          <w:szCs w:val="24"/>
        </w:rPr>
        <w:t xml:space="preserve">rested in the background story. </w:t>
      </w:r>
      <w:r w:rsidR="00092301">
        <w:rPr>
          <w:sz w:val="24"/>
          <w:szCs w:val="24"/>
        </w:rPr>
        <w:t xml:space="preserve"> </w:t>
      </w:r>
      <w:r w:rsidR="00CC5E02">
        <w:rPr>
          <w:sz w:val="24"/>
          <w:szCs w:val="24"/>
        </w:rPr>
        <w:t>Despite the many differences between the various types of cancer, they have certain fundamental similarities:</w:t>
      </w:r>
    </w:p>
    <w:p w:rsidR="00CC5E02" w:rsidRDefault="00CC5E02" w:rsidP="00CC5E02">
      <w:pPr>
        <w:pStyle w:val="ListParagraph"/>
        <w:numPr>
          <w:ilvl w:val="0"/>
          <w:numId w:val="1"/>
        </w:numPr>
        <w:rPr>
          <w:sz w:val="24"/>
          <w:szCs w:val="24"/>
        </w:rPr>
      </w:pPr>
      <w:r>
        <w:rPr>
          <w:sz w:val="24"/>
          <w:szCs w:val="24"/>
        </w:rPr>
        <w:t>Cells are growing too fast, out of control.</w:t>
      </w:r>
    </w:p>
    <w:p w:rsidR="00CC5E02" w:rsidRDefault="00CC5E02" w:rsidP="00CC5E02">
      <w:pPr>
        <w:pStyle w:val="ListParagraph"/>
        <w:numPr>
          <w:ilvl w:val="0"/>
          <w:numId w:val="1"/>
        </w:numPr>
        <w:rPr>
          <w:sz w:val="24"/>
          <w:szCs w:val="24"/>
        </w:rPr>
      </w:pPr>
      <w:r>
        <w:rPr>
          <w:sz w:val="24"/>
          <w:szCs w:val="24"/>
        </w:rPr>
        <w:t xml:space="preserve">These cells have genetic mutations – usually dozens of distinct mutations that promote growth and suppress normal metabolism and function.  </w:t>
      </w:r>
    </w:p>
    <w:p w:rsidR="00CC5E02" w:rsidRDefault="00CC5E02" w:rsidP="00CC5E02">
      <w:pPr>
        <w:pStyle w:val="ListParagraph"/>
        <w:numPr>
          <w:ilvl w:val="0"/>
          <w:numId w:val="1"/>
        </w:numPr>
        <w:rPr>
          <w:sz w:val="24"/>
          <w:szCs w:val="24"/>
        </w:rPr>
      </w:pPr>
      <w:r>
        <w:rPr>
          <w:sz w:val="24"/>
          <w:szCs w:val="24"/>
        </w:rPr>
        <w:t xml:space="preserve">They do not stop growing when they bump into each other, they continue to grow and crowd each </w:t>
      </w:r>
      <w:proofErr w:type="gramStart"/>
      <w:r>
        <w:rPr>
          <w:sz w:val="24"/>
          <w:szCs w:val="24"/>
        </w:rPr>
        <w:t>other.(</w:t>
      </w:r>
      <w:proofErr w:type="gramEnd"/>
      <w:r>
        <w:rPr>
          <w:sz w:val="24"/>
          <w:szCs w:val="24"/>
        </w:rPr>
        <w:t xml:space="preserve">loss of contact inhibition). </w:t>
      </w:r>
    </w:p>
    <w:p w:rsidR="00CC5E02" w:rsidRDefault="00CC5E02" w:rsidP="00CC5E02">
      <w:pPr>
        <w:pStyle w:val="ListParagraph"/>
        <w:numPr>
          <w:ilvl w:val="0"/>
          <w:numId w:val="1"/>
        </w:numPr>
        <w:rPr>
          <w:sz w:val="24"/>
          <w:szCs w:val="24"/>
        </w:rPr>
      </w:pPr>
      <w:r>
        <w:rPr>
          <w:sz w:val="24"/>
          <w:szCs w:val="24"/>
        </w:rPr>
        <w:t xml:space="preserve">The blood vessels in the tumours are laid in fast and not remodeled, making them very leaky. </w:t>
      </w:r>
    </w:p>
    <w:p w:rsidR="00CC5E02" w:rsidRDefault="00CC5E02" w:rsidP="00CC5E02">
      <w:pPr>
        <w:rPr>
          <w:sz w:val="24"/>
          <w:szCs w:val="24"/>
        </w:rPr>
      </w:pPr>
    </w:p>
    <w:p w:rsidR="00CC5E02" w:rsidRDefault="00CC5E02" w:rsidP="00CC5E02">
      <w:pPr>
        <w:rPr>
          <w:sz w:val="24"/>
          <w:szCs w:val="24"/>
        </w:rPr>
      </w:pPr>
      <w:r>
        <w:rPr>
          <w:sz w:val="24"/>
          <w:szCs w:val="24"/>
        </w:rPr>
        <w:t xml:space="preserve">As a result, at or before the time tumours are diagnosed, they are highly pressurized.  Blood vessels get squashed, and pockets of low oxygen develop (hypoxia).  If the oxygen drops to zero all human cells die, but cancer cells adapt to very low oxygen levels.  The little combustion chambers in human cells that burn fuel with oxygen to make energy, start to malfunction.  These mitochondria then lose control over a critical control system that makes cells check for </w:t>
      </w:r>
      <w:r w:rsidR="00D1315B">
        <w:rPr>
          <w:sz w:val="24"/>
          <w:szCs w:val="24"/>
        </w:rPr>
        <w:t xml:space="preserve">genetic damage and </w:t>
      </w:r>
      <w:r>
        <w:rPr>
          <w:sz w:val="24"/>
          <w:szCs w:val="24"/>
        </w:rPr>
        <w:t xml:space="preserve">mutations before they </w:t>
      </w:r>
      <w:r w:rsidR="00D1315B">
        <w:rPr>
          <w:sz w:val="24"/>
          <w:szCs w:val="24"/>
        </w:rPr>
        <w:t xml:space="preserve">are allowed to </w:t>
      </w:r>
      <w:r>
        <w:rPr>
          <w:sz w:val="24"/>
          <w:szCs w:val="24"/>
        </w:rPr>
        <w:t>double.  If a cell is found to be highly damaged, by aging, or any reason, the bad cell is supposed to recycle itself, and not double into two bad cells</w:t>
      </w:r>
      <w:r w:rsidR="004C277C">
        <w:rPr>
          <w:sz w:val="24"/>
          <w:szCs w:val="24"/>
        </w:rPr>
        <w:t xml:space="preserve"> (apoptosis or programmed cell death)</w:t>
      </w:r>
      <w:r>
        <w:rPr>
          <w:sz w:val="24"/>
          <w:szCs w:val="24"/>
        </w:rPr>
        <w:t>.</w:t>
      </w:r>
      <w:r w:rsidR="004C277C">
        <w:rPr>
          <w:sz w:val="24"/>
          <w:szCs w:val="24"/>
        </w:rPr>
        <w:t xml:space="preserve"> </w:t>
      </w:r>
      <w:r>
        <w:rPr>
          <w:sz w:val="24"/>
          <w:szCs w:val="24"/>
        </w:rPr>
        <w:t xml:space="preserve"> </w:t>
      </w:r>
      <w:r w:rsidR="004C277C">
        <w:rPr>
          <w:sz w:val="24"/>
          <w:szCs w:val="24"/>
        </w:rPr>
        <w:t xml:space="preserve">Cell recycling causes a stem cell to awake from dormancy and replace the recycled cell.  Every cell in our bodies have been replaced many times by this safety system.  Loss of apoptosis means the cancer cells cannot shut off, and can become more and more mutated over time.  </w:t>
      </w:r>
      <w:r w:rsidR="00865FCA">
        <w:rPr>
          <w:sz w:val="24"/>
          <w:szCs w:val="24"/>
        </w:rPr>
        <w:t>No longer based on a stem cell replacement model (asymmetrical mitosis), each cancer cell is now able to double, and double again (embryo-like symmetrical mitosis).  Masses of relatively unspecialized (undifferentiated) cells accumulate, become more and more focused on growth alone.</w:t>
      </w:r>
    </w:p>
    <w:p w:rsidR="002A2096" w:rsidRDefault="002A2096" w:rsidP="009721ED">
      <w:pPr>
        <w:rPr>
          <w:sz w:val="24"/>
          <w:szCs w:val="24"/>
        </w:rPr>
      </w:pPr>
    </w:p>
    <w:p w:rsidR="002A2096" w:rsidRDefault="004C277C" w:rsidP="009721ED">
      <w:pPr>
        <w:rPr>
          <w:sz w:val="24"/>
          <w:szCs w:val="24"/>
        </w:rPr>
      </w:pPr>
      <w:r>
        <w:rPr>
          <w:sz w:val="24"/>
          <w:szCs w:val="24"/>
        </w:rPr>
        <w:t xml:space="preserve">As the mitochondria lose oxygen they also switch from oxygen burning to fermentation reactions that do not need oxygen.  This anaerobic glycolysis starts to generate masses of building materials needed to make cells.  As the supply of carbon skeletons, fats, proteins and precursors of DNA and RNA ramps up, so does the growth rate of the cancer.  </w:t>
      </w:r>
      <w:r w:rsidR="00865FCA">
        <w:rPr>
          <w:sz w:val="24"/>
          <w:szCs w:val="24"/>
        </w:rPr>
        <w:t>W</w:t>
      </w:r>
      <w:r>
        <w:rPr>
          <w:sz w:val="24"/>
          <w:szCs w:val="24"/>
        </w:rPr>
        <w:t xml:space="preserve">ith abundant cell materials, the cancer cells achieve an exponential growth rate. </w:t>
      </w:r>
      <w:r w:rsidR="002A2096">
        <w:rPr>
          <w:sz w:val="24"/>
          <w:szCs w:val="24"/>
        </w:rPr>
        <w:t xml:space="preserve"> </w:t>
      </w:r>
      <w:r w:rsidR="00865FCA">
        <w:rPr>
          <w:sz w:val="24"/>
          <w:szCs w:val="24"/>
        </w:rPr>
        <w:t xml:space="preserve">Lucking into this new paradigm, they lock the mitochondria </w:t>
      </w:r>
      <w:r w:rsidR="005C24D4">
        <w:rPr>
          <w:sz w:val="24"/>
          <w:szCs w:val="24"/>
        </w:rPr>
        <w:t xml:space="preserve">into fermentation, closing critical membrane pores </w:t>
      </w:r>
      <w:r w:rsidR="00865FCA">
        <w:rPr>
          <w:sz w:val="24"/>
          <w:szCs w:val="24"/>
        </w:rPr>
        <w:t xml:space="preserve">with a unique chemical </w:t>
      </w:r>
      <w:r w:rsidR="005C24D4">
        <w:rPr>
          <w:sz w:val="24"/>
          <w:szCs w:val="24"/>
        </w:rPr>
        <w:t xml:space="preserve">called </w:t>
      </w:r>
      <w:r w:rsidR="00865FCA">
        <w:rPr>
          <w:sz w:val="24"/>
          <w:szCs w:val="24"/>
        </w:rPr>
        <w:t xml:space="preserve">hexokinase II. </w:t>
      </w:r>
    </w:p>
    <w:p w:rsidR="00092301" w:rsidRDefault="00092301" w:rsidP="00092301">
      <w:pPr>
        <w:rPr>
          <w:sz w:val="24"/>
          <w:szCs w:val="24"/>
        </w:rPr>
      </w:pPr>
    </w:p>
    <w:p w:rsidR="002A2096" w:rsidRDefault="002A2096" w:rsidP="009721ED">
      <w:pPr>
        <w:rPr>
          <w:sz w:val="24"/>
          <w:szCs w:val="24"/>
        </w:rPr>
      </w:pPr>
      <w:r>
        <w:rPr>
          <w:sz w:val="24"/>
          <w:szCs w:val="24"/>
        </w:rPr>
        <w:t xml:space="preserve">In addition, the fermentation reactions generate a lot of acid as a waste product.  Human cells, even cancer cells, do not tolerate acid well.  They send out distress signals and immune cells start to rescue </w:t>
      </w:r>
      <w:r>
        <w:rPr>
          <w:sz w:val="24"/>
          <w:szCs w:val="24"/>
        </w:rPr>
        <w:lastRenderedPageBreak/>
        <w:t xml:space="preserve">them and move them to safe havens. </w:t>
      </w:r>
      <w:r w:rsidRPr="002A2096">
        <w:rPr>
          <w:sz w:val="24"/>
          <w:szCs w:val="24"/>
        </w:rPr>
        <w:t xml:space="preserve"> </w:t>
      </w:r>
      <w:r>
        <w:rPr>
          <w:sz w:val="24"/>
          <w:szCs w:val="24"/>
        </w:rPr>
        <w:t xml:space="preserve">Immune cells try to help our cells when sick or injured.  Invasion and metastasis, the most malignant properties of cancer, are based on immune cells trying to help them escape a sick and toxic environment of low oxygen and high acid.   They end up escorting and helping them to colonize elsewhere. </w:t>
      </w:r>
      <w:r w:rsidR="00D1315B">
        <w:rPr>
          <w:sz w:val="24"/>
          <w:szCs w:val="24"/>
        </w:rPr>
        <w:t xml:space="preserve"> The rate of growth and spread of any cancer has a direct, linear relationship with the loss of and damage to its mitochondria.  </w:t>
      </w:r>
    </w:p>
    <w:p w:rsidR="002A2096" w:rsidRDefault="002A2096" w:rsidP="009721ED">
      <w:pPr>
        <w:rPr>
          <w:sz w:val="24"/>
          <w:szCs w:val="24"/>
        </w:rPr>
      </w:pPr>
    </w:p>
    <w:p w:rsidR="00092301" w:rsidRPr="00CF7610" w:rsidRDefault="002A2096" w:rsidP="00092301">
      <w:pPr>
        <w:rPr>
          <w:sz w:val="24"/>
          <w:szCs w:val="24"/>
        </w:rPr>
      </w:pPr>
      <w:r>
        <w:rPr>
          <w:sz w:val="24"/>
          <w:szCs w:val="24"/>
        </w:rPr>
        <w:t xml:space="preserve">The DCA study in Alberta 10 years ago showed we could spark up oxygen metabolism in cancer cells, </w:t>
      </w:r>
      <w:r w:rsidR="005C24D4">
        <w:rPr>
          <w:sz w:val="24"/>
          <w:szCs w:val="24"/>
        </w:rPr>
        <w:t>and re-open the</w:t>
      </w:r>
      <w:r>
        <w:rPr>
          <w:sz w:val="24"/>
          <w:szCs w:val="24"/>
        </w:rPr>
        <w:t xml:space="preserve"> pores t</w:t>
      </w:r>
      <w:r w:rsidR="005C24D4">
        <w:rPr>
          <w:sz w:val="24"/>
          <w:szCs w:val="24"/>
        </w:rPr>
        <w:t>hat</w:t>
      </w:r>
      <w:r>
        <w:rPr>
          <w:sz w:val="24"/>
          <w:szCs w:val="24"/>
        </w:rPr>
        <w:t xml:space="preserve"> let the chemicals </w:t>
      </w:r>
      <w:r w:rsidR="005C24D4">
        <w:rPr>
          <w:sz w:val="24"/>
          <w:szCs w:val="24"/>
        </w:rPr>
        <w:t xml:space="preserve">(caspases) </w:t>
      </w:r>
      <w:r>
        <w:rPr>
          <w:sz w:val="24"/>
          <w:szCs w:val="24"/>
        </w:rPr>
        <w:t xml:space="preserve">out </w:t>
      </w:r>
      <w:r w:rsidR="005C24D4">
        <w:rPr>
          <w:sz w:val="24"/>
          <w:szCs w:val="24"/>
        </w:rPr>
        <w:t>which</w:t>
      </w:r>
      <w:r>
        <w:rPr>
          <w:sz w:val="24"/>
          <w:szCs w:val="24"/>
        </w:rPr>
        <w:t xml:space="preserve"> cause mutated cells to recycle.  </w:t>
      </w:r>
      <w:r w:rsidR="00092301">
        <w:rPr>
          <w:sz w:val="24"/>
          <w:szCs w:val="24"/>
        </w:rPr>
        <w:t xml:space="preserve">We can shut off these mutant zombie cells, cut off the supplies for new cell growth, and stop the spread of the cancer in the body, all by a non-toxic </w:t>
      </w:r>
      <w:r w:rsidR="00092301" w:rsidRPr="00865FCA">
        <w:rPr>
          <w:i/>
          <w:sz w:val="24"/>
          <w:szCs w:val="24"/>
        </w:rPr>
        <w:t xml:space="preserve">healing </w:t>
      </w:r>
      <w:r w:rsidR="00092301">
        <w:rPr>
          <w:sz w:val="24"/>
          <w:szCs w:val="24"/>
        </w:rPr>
        <w:t xml:space="preserve">of the cancer cell metabolism. </w:t>
      </w:r>
    </w:p>
    <w:p w:rsidR="00092301" w:rsidRDefault="00092301" w:rsidP="009721ED">
      <w:pPr>
        <w:rPr>
          <w:sz w:val="24"/>
          <w:szCs w:val="24"/>
        </w:rPr>
      </w:pPr>
    </w:p>
    <w:p w:rsidR="009721ED" w:rsidRPr="00CF7610" w:rsidRDefault="002A2096" w:rsidP="009721ED">
      <w:pPr>
        <w:rPr>
          <w:sz w:val="24"/>
          <w:szCs w:val="24"/>
        </w:rPr>
      </w:pPr>
      <w:r>
        <w:rPr>
          <w:sz w:val="24"/>
          <w:szCs w:val="24"/>
        </w:rPr>
        <w:t>My research showed R-alpha lipoic acid, vitamin B1 (thiamine) was a much safer and more effective way to</w:t>
      </w:r>
      <w:r w:rsidR="00865FCA">
        <w:rPr>
          <w:sz w:val="24"/>
          <w:szCs w:val="24"/>
        </w:rPr>
        <w:t xml:space="preserve"> achieve what DCA do</w:t>
      </w:r>
      <w:r>
        <w:rPr>
          <w:sz w:val="24"/>
          <w:szCs w:val="24"/>
        </w:rPr>
        <w:t xml:space="preserve">es,   I have also found other mitochondrial supports to augment this effect.  </w:t>
      </w:r>
      <w:r w:rsidR="009721ED" w:rsidRPr="00CF7610">
        <w:rPr>
          <w:sz w:val="24"/>
          <w:szCs w:val="24"/>
        </w:rPr>
        <w:t xml:space="preserve">I </w:t>
      </w:r>
      <w:r w:rsidR="00EC08F8">
        <w:rPr>
          <w:sz w:val="24"/>
          <w:szCs w:val="24"/>
        </w:rPr>
        <w:t xml:space="preserve">have had some success with it.  </w:t>
      </w:r>
      <w:r w:rsidR="00EC08F8" w:rsidRPr="00CF7610">
        <w:rPr>
          <w:sz w:val="24"/>
          <w:szCs w:val="24"/>
        </w:rPr>
        <w:t>Docs are seeing results with previous versions of this</w:t>
      </w:r>
      <w:r w:rsidR="00EC08F8">
        <w:rPr>
          <w:sz w:val="24"/>
          <w:szCs w:val="24"/>
        </w:rPr>
        <w:t xml:space="preserve"> formula in some tough cancers. </w:t>
      </w:r>
      <w:r w:rsidR="00EC08F8" w:rsidRPr="00CF7610">
        <w:rPr>
          <w:sz w:val="24"/>
          <w:szCs w:val="24"/>
        </w:rPr>
        <w:t xml:space="preserve"> </w:t>
      </w:r>
      <w:r w:rsidR="009721ED" w:rsidRPr="00CF7610">
        <w:rPr>
          <w:sz w:val="24"/>
          <w:szCs w:val="24"/>
        </w:rPr>
        <w:t>Recently I got a group of doctors and PhDs to review and refine the formula, and got Health Can</w:t>
      </w:r>
      <w:r w:rsidR="00EC08F8">
        <w:rPr>
          <w:sz w:val="24"/>
          <w:szCs w:val="24"/>
        </w:rPr>
        <w:t xml:space="preserve">ada approval for </w:t>
      </w:r>
      <w:r w:rsidR="009721ED" w:rsidRPr="00CF7610">
        <w:rPr>
          <w:b/>
          <w:sz w:val="24"/>
          <w:szCs w:val="24"/>
        </w:rPr>
        <w:t>Mito-SAP</w:t>
      </w:r>
      <w:r w:rsidR="009721ED" w:rsidRPr="00CF7610">
        <w:rPr>
          <w:sz w:val="24"/>
          <w:szCs w:val="24"/>
        </w:rPr>
        <w:t xml:space="preserve">, a professional product made by NFH – Nutritional Fundamentals for Health.  The dose is </w:t>
      </w:r>
      <w:r w:rsidR="00EC08F8">
        <w:rPr>
          <w:b/>
          <w:sz w:val="24"/>
          <w:szCs w:val="24"/>
        </w:rPr>
        <w:t xml:space="preserve">2 </w:t>
      </w:r>
      <w:r w:rsidR="009721ED" w:rsidRPr="00CF7610">
        <w:rPr>
          <w:b/>
          <w:sz w:val="24"/>
          <w:szCs w:val="24"/>
        </w:rPr>
        <w:t xml:space="preserve">capsules </w:t>
      </w:r>
      <w:r w:rsidR="00EC08F8">
        <w:rPr>
          <w:b/>
          <w:sz w:val="24"/>
          <w:szCs w:val="24"/>
        </w:rPr>
        <w:t>3 times</w:t>
      </w:r>
      <w:r w:rsidR="009721ED" w:rsidRPr="00CF7610">
        <w:rPr>
          <w:b/>
          <w:sz w:val="24"/>
          <w:szCs w:val="24"/>
        </w:rPr>
        <w:t xml:space="preserve"> daily at meals</w:t>
      </w:r>
      <w:r w:rsidR="009721ED" w:rsidRPr="00CF7610">
        <w:rPr>
          <w:sz w:val="24"/>
          <w:szCs w:val="24"/>
        </w:rPr>
        <w:t xml:space="preserve">. </w:t>
      </w:r>
      <w:r w:rsidR="00EC08F8">
        <w:rPr>
          <w:sz w:val="24"/>
          <w:szCs w:val="24"/>
        </w:rPr>
        <w:t xml:space="preserve">  A pared down version would be </w:t>
      </w:r>
      <w:r w:rsidR="00E20D9D">
        <w:rPr>
          <w:sz w:val="24"/>
          <w:szCs w:val="24"/>
        </w:rPr>
        <w:t xml:space="preserve">AOR brand </w:t>
      </w:r>
      <w:r w:rsidR="00EC08F8" w:rsidRPr="00CC2806">
        <w:rPr>
          <w:b/>
          <w:sz w:val="24"/>
          <w:szCs w:val="24"/>
        </w:rPr>
        <w:t>R-alpha lipoic acid</w:t>
      </w:r>
      <w:r w:rsidR="00EC08F8">
        <w:rPr>
          <w:sz w:val="24"/>
          <w:szCs w:val="24"/>
        </w:rPr>
        <w:t xml:space="preserve"> 300 mg and vitamin B1 –</w:t>
      </w:r>
      <w:r w:rsidR="00EC08F8" w:rsidRPr="00CC2806">
        <w:rPr>
          <w:b/>
          <w:sz w:val="24"/>
          <w:szCs w:val="24"/>
        </w:rPr>
        <w:t xml:space="preserve"> thiamine</w:t>
      </w:r>
      <w:r w:rsidR="00EC08F8">
        <w:rPr>
          <w:sz w:val="24"/>
          <w:szCs w:val="24"/>
        </w:rPr>
        <w:t xml:space="preserve"> 100 mg or more, twice daily at meals. </w:t>
      </w:r>
      <w:r w:rsidR="00CC2806">
        <w:rPr>
          <w:sz w:val="24"/>
          <w:szCs w:val="24"/>
        </w:rPr>
        <w:t xml:space="preserve"> </w:t>
      </w:r>
      <w:r w:rsidR="00E20D9D">
        <w:rPr>
          <w:sz w:val="24"/>
          <w:szCs w:val="24"/>
        </w:rPr>
        <w:t xml:space="preserve">AOR </w:t>
      </w:r>
      <w:proofErr w:type="spellStart"/>
      <w:r w:rsidR="00CC2806">
        <w:rPr>
          <w:sz w:val="24"/>
          <w:szCs w:val="24"/>
        </w:rPr>
        <w:t>Benfotiamine</w:t>
      </w:r>
      <w:proofErr w:type="spellEnd"/>
      <w:r w:rsidR="00CC2806">
        <w:rPr>
          <w:sz w:val="24"/>
          <w:szCs w:val="24"/>
        </w:rPr>
        <w:t xml:space="preserve"> is an excellent </w:t>
      </w:r>
      <w:r w:rsidR="00C20662">
        <w:rPr>
          <w:sz w:val="24"/>
          <w:szCs w:val="24"/>
        </w:rPr>
        <w:t xml:space="preserve">water soluble </w:t>
      </w:r>
      <w:r w:rsidR="00CC2806">
        <w:rPr>
          <w:sz w:val="24"/>
          <w:szCs w:val="24"/>
        </w:rPr>
        <w:t>form of thiamine</w:t>
      </w:r>
      <w:r w:rsidR="00865FCA">
        <w:rPr>
          <w:sz w:val="24"/>
          <w:szCs w:val="24"/>
        </w:rPr>
        <w:t xml:space="preserve"> which I dose at 2 of 80 mg capsules twice daily at meals. </w:t>
      </w:r>
      <w:r w:rsidR="00CC2806">
        <w:rPr>
          <w:sz w:val="24"/>
          <w:szCs w:val="24"/>
        </w:rPr>
        <w:t xml:space="preserve">. </w:t>
      </w:r>
    </w:p>
    <w:p w:rsidR="009721ED" w:rsidRPr="00CF7610" w:rsidRDefault="009721ED" w:rsidP="009721ED">
      <w:pPr>
        <w:rPr>
          <w:sz w:val="24"/>
          <w:szCs w:val="24"/>
        </w:rPr>
      </w:pPr>
    </w:p>
    <w:p w:rsidR="00EC08F8" w:rsidRDefault="00EC08F8" w:rsidP="009721ED">
      <w:pPr>
        <w:rPr>
          <w:sz w:val="24"/>
          <w:szCs w:val="24"/>
        </w:rPr>
      </w:pPr>
      <w:r>
        <w:rPr>
          <w:sz w:val="24"/>
          <w:szCs w:val="24"/>
        </w:rPr>
        <w:t xml:space="preserve">An </w:t>
      </w:r>
      <w:r w:rsidR="009721ED" w:rsidRPr="00CF7610">
        <w:rPr>
          <w:sz w:val="24"/>
          <w:szCs w:val="24"/>
        </w:rPr>
        <w:t xml:space="preserve">elusive target </w:t>
      </w:r>
      <w:r w:rsidR="00494149">
        <w:rPr>
          <w:sz w:val="24"/>
          <w:szCs w:val="24"/>
        </w:rPr>
        <w:t>in</w:t>
      </w:r>
      <w:r w:rsidR="009721ED" w:rsidRPr="00CF7610">
        <w:rPr>
          <w:sz w:val="24"/>
          <w:szCs w:val="24"/>
        </w:rPr>
        <w:t xml:space="preserve"> </w:t>
      </w:r>
      <w:r>
        <w:rPr>
          <w:sz w:val="24"/>
          <w:szCs w:val="24"/>
        </w:rPr>
        <w:t>cancer metaboli</w:t>
      </w:r>
      <w:r w:rsidR="00494149">
        <w:rPr>
          <w:sz w:val="24"/>
          <w:szCs w:val="24"/>
        </w:rPr>
        <w:t>sm</w:t>
      </w:r>
      <w:r>
        <w:rPr>
          <w:sz w:val="24"/>
          <w:szCs w:val="24"/>
        </w:rPr>
        <w:t xml:space="preserve"> is </w:t>
      </w:r>
      <w:r w:rsidRPr="00CC2806">
        <w:rPr>
          <w:b/>
          <w:sz w:val="24"/>
          <w:szCs w:val="24"/>
        </w:rPr>
        <w:t>Hexokinase II.</w:t>
      </w:r>
      <w:r>
        <w:rPr>
          <w:sz w:val="24"/>
          <w:szCs w:val="24"/>
        </w:rPr>
        <w:t xml:space="preserve"> </w:t>
      </w:r>
      <w:r w:rsidR="009721ED" w:rsidRPr="00CF7610">
        <w:rPr>
          <w:sz w:val="24"/>
          <w:szCs w:val="24"/>
        </w:rPr>
        <w:t xml:space="preserve"> Normal cells make hexokinase I, but cancers make this other version, which locks them into burning fuel without oxygen.</w:t>
      </w:r>
      <w:r>
        <w:rPr>
          <w:sz w:val="24"/>
          <w:szCs w:val="24"/>
        </w:rPr>
        <w:t xml:space="preserve"> </w:t>
      </w:r>
      <w:r w:rsidR="009721ED" w:rsidRPr="00CF7610">
        <w:rPr>
          <w:sz w:val="24"/>
          <w:szCs w:val="24"/>
        </w:rPr>
        <w:t xml:space="preserve"> </w:t>
      </w:r>
      <w:r w:rsidR="00C20662">
        <w:rPr>
          <w:sz w:val="24"/>
          <w:szCs w:val="24"/>
        </w:rPr>
        <w:t xml:space="preserve">. </w:t>
      </w:r>
      <w:r w:rsidR="009721ED" w:rsidRPr="00CF7610">
        <w:rPr>
          <w:sz w:val="24"/>
          <w:szCs w:val="24"/>
        </w:rPr>
        <w:t>So hexokinase II is something of a “magic bullet” target – you can wreck cancer cells by inhibiting it, but no h</w:t>
      </w:r>
      <w:r>
        <w:rPr>
          <w:sz w:val="24"/>
          <w:szCs w:val="24"/>
        </w:rPr>
        <w:t>arm will come to normal cells.</w:t>
      </w:r>
      <w:r w:rsidR="00865FCA">
        <w:rPr>
          <w:sz w:val="24"/>
          <w:szCs w:val="24"/>
        </w:rPr>
        <w:t xml:space="preserve"> </w:t>
      </w:r>
      <w:r>
        <w:rPr>
          <w:sz w:val="24"/>
          <w:szCs w:val="24"/>
        </w:rPr>
        <w:t xml:space="preserve"> </w:t>
      </w:r>
      <w:r w:rsidR="009721ED" w:rsidRPr="00CF7610">
        <w:rPr>
          <w:sz w:val="24"/>
          <w:szCs w:val="24"/>
        </w:rPr>
        <w:t>Frankly</w:t>
      </w:r>
      <w:r>
        <w:rPr>
          <w:sz w:val="24"/>
          <w:szCs w:val="24"/>
        </w:rPr>
        <w:t>,</w:t>
      </w:r>
      <w:r w:rsidR="00C20662">
        <w:rPr>
          <w:sz w:val="24"/>
          <w:szCs w:val="24"/>
        </w:rPr>
        <w:t xml:space="preserve"> </w:t>
      </w:r>
      <w:r w:rsidR="009721ED" w:rsidRPr="00CF7610">
        <w:rPr>
          <w:sz w:val="24"/>
          <w:szCs w:val="24"/>
        </w:rPr>
        <w:t>it’s a bit of</w:t>
      </w:r>
      <w:r>
        <w:rPr>
          <w:sz w:val="24"/>
          <w:szCs w:val="24"/>
        </w:rPr>
        <w:t xml:space="preserve"> Holy Grail in cancer research. </w:t>
      </w:r>
      <w:r w:rsidR="009721ED" w:rsidRPr="00CF7610">
        <w:rPr>
          <w:sz w:val="24"/>
          <w:szCs w:val="24"/>
        </w:rPr>
        <w:t xml:space="preserve"> In my </w:t>
      </w:r>
      <w:r w:rsidR="00C20662">
        <w:rPr>
          <w:sz w:val="24"/>
          <w:szCs w:val="24"/>
        </w:rPr>
        <w:t xml:space="preserve">previous </w:t>
      </w:r>
      <w:r w:rsidR="009721ED" w:rsidRPr="00CF7610">
        <w:rPr>
          <w:sz w:val="24"/>
          <w:szCs w:val="24"/>
        </w:rPr>
        <w:t xml:space="preserve">book I listed </w:t>
      </w:r>
      <w:r w:rsidR="009721ED" w:rsidRPr="00EC08F8">
        <w:rPr>
          <w:i/>
          <w:sz w:val="24"/>
          <w:szCs w:val="24"/>
        </w:rPr>
        <w:t>Garcinia</w:t>
      </w:r>
      <w:r w:rsidR="009721ED" w:rsidRPr="00CF7610">
        <w:rPr>
          <w:sz w:val="24"/>
          <w:szCs w:val="24"/>
        </w:rPr>
        <w:t xml:space="preserve"> </w:t>
      </w:r>
      <w:proofErr w:type="spellStart"/>
      <w:r w:rsidR="009721ED" w:rsidRPr="00CF7610">
        <w:rPr>
          <w:sz w:val="24"/>
          <w:szCs w:val="24"/>
        </w:rPr>
        <w:t>hydroxycitrate</w:t>
      </w:r>
      <w:proofErr w:type="spellEnd"/>
      <w:r w:rsidR="009721ED" w:rsidRPr="00CF7610">
        <w:rPr>
          <w:sz w:val="24"/>
          <w:szCs w:val="24"/>
        </w:rPr>
        <w:t xml:space="preserve"> as a remedy found to inhibit Hex-II – but </w:t>
      </w:r>
      <w:r>
        <w:rPr>
          <w:sz w:val="24"/>
          <w:szCs w:val="24"/>
        </w:rPr>
        <w:t>unfortunately it didn’t do much in humans.</w:t>
      </w:r>
      <w:r w:rsidR="009721ED" w:rsidRPr="00CF7610">
        <w:rPr>
          <w:sz w:val="24"/>
          <w:szCs w:val="24"/>
        </w:rPr>
        <w:t xml:space="preserve"> </w:t>
      </w:r>
      <w:r>
        <w:rPr>
          <w:sz w:val="24"/>
          <w:szCs w:val="24"/>
        </w:rPr>
        <w:t xml:space="preserve"> </w:t>
      </w:r>
      <w:r w:rsidR="009721ED" w:rsidRPr="00CF7610">
        <w:rPr>
          <w:sz w:val="24"/>
          <w:szCs w:val="24"/>
        </w:rPr>
        <w:t xml:space="preserve">I </w:t>
      </w:r>
      <w:r w:rsidR="00CC2806">
        <w:rPr>
          <w:sz w:val="24"/>
          <w:szCs w:val="24"/>
        </w:rPr>
        <w:t xml:space="preserve">continued to search and recently </w:t>
      </w:r>
      <w:r w:rsidR="009721ED" w:rsidRPr="00CF7610">
        <w:rPr>
          <w:sz w:val="24"/>
          <w:szCs w:val="24"/>
        </w:rPr>
        <w:t>found research papers s</w:t>
      </w:r>
      <w:r>
        <w:rPr>
          <w:sz w:val="24"/>
          <w:szCs w:val="24"/>
        </w:rPr>
        <w:t xml:space="preserve">aying the herb </w:t>
      </w:r>
      <w:r w:rsidR="00494149">
        <w:rPr>
          <w:b/>
          <w:sz w:val="24"/>
          <w:szCs w:val="24"/>
        </w:rPr>
        <w:t xml:space="preserve">Solomon’s seal </w:t>
      </w:r>
      <w:r w:rsidR="009721ED" w:rsidRPr="00CC2806">
        <w:rPr>
          <w:b/>
          <w:sz w:val="24"/>
          <w:szCs w:val="24"/>
        </w:rPr>
        <w:t>(</w:t>
      </w:r>
      <w:proofErr w:type="spellStart"/>
      <w:r w:rsidR="009721ED" w:rsidRPr="00CC2806">
        <w:rPr>
          <w:b/>
          <w:i/>
          <w:sz w:val="24"/>
          <w:szCs w:val="24"/>
        </w:rPr>
        <w:t>Polygonatum</w:t>
      </w:r>
      <w:proofErr w:type="spellEnd"/>
      <w:r w:rsidR="009721ED" w:rsidRPr="00CC2806">
        <w:rPr>
          <w:b/>
          <w:i/>
          <w:sz w:val="24"/>
          <w:szCs w:val="24"/>
        </w:rPr>
        <w:t xml:space="preserve"> </w:t>
      </w:r>
      <w:proofErr w:type="spellStart"/>
      <w:r w:rsidR="009721ED" w:rsidRPr="00CC2806">
        <w:rPr>
          <w:b/>
          <w:i/>
          <w:sz w:val="24"/>
          <w:szCs w:val="24"/>
        </w:rPr>
        <w:t>spp</w:t>
      </w:r>
      <w:proofErr w:type="spellEnd"/>
      <w:r w:rsidR="009721ED" w:rsidRPr="00CC2806">
        <w:rPr>
          <w:b/>
          <w:sz w:val="24"/>
          <w:szCs w:val="24"/>
        </w:rPr>
        <w:t>)</w:t>
      </w:r>
      <w:r w:rsidR="009721ED" w:rsidRPr="00CF7610">
        <w:rPr>
          <w:sz w:val="24"/>
          <w:szCs w:val="24"/>
        </w:rPr>
        <w:t xml:space="preserve"> inhibited Hex-II – and </w:t>
      </w:r>
      <w:r>
        <w:rPr>
          <w:sz w:val="24"/>
          <w:szCs w:val="24"/>
        </w:rPr>
        <w:t>it is a joy to see</w:t>
      </w:r>
      <w:r w:rsidR="009721ED" w:rsidRPr="00CF7610">
        <w:rPr>
          <w:sz w:val="24"/>
          <w:szCs w:val="24"/>
        </w:rPr>
        <w:t xml:space="preserve"> </w:t>
      </w:r>
      <w:r w:rsidR="00E20D9D">
        <w:rPr>
          <w:sz w:val="24"/>
          <w:szCs w:val="24"/>
        </w:rPr>
        <w:t xml:space="preserve">that </w:t>
      </w:r>
      <w:r w:rsidR="009721ED" w:rsidRPr="00CF7610">
        <w:rPr>
          <w:sz w:val="24"/>
          <w:szCs w:val="24"/>
        </w:rPr>
        <w:t>it really works</w:t>
      </w:r>
      <w:r>
        <w:rPr>
          <w:sz w:val="24"/>
          <w:szCs w:val="24"/>
        </w:rPr>
        <w:t xml:space="preserve">. </w:t>
      </w:r>
      <w:r w:rsidR="009721ED" w:rsidRPr="00CF7610">
        <w:rPr>
          <w:sz w:val="24"/>
          <w:szCs w:val="24"/>
        </w:rPr>
        <w:t xml:space="preserve"> </w:t>
      </w:r>
      <w:r w:rsidR="004C277C">
        <w:rPr>
          <w:sz w:val="24"/>
          <w:szCs w:val="24"/>
        </w:rPr>
        <w:t xml:space="preserve">Research supports </w:t>
      </w:r>
      <w:r w:rsidR="004C277C" w:rsidRPr="004C277C">
        <w:rPr>
          <w:i/>
          <w:sz w:val="24"/>
          <w:szCs w:val="24"/>
        </w:rPr>
        <w:t xml:space="preserve">P. </w:t>
      </w:r>
      <w:proofErr w:type="spellStart"/>
      <w:r w:rsidR="004C277C" w:rsidRPr="004C277C">
        <w:rPr>
          <w:i/>
          <w:sz w:val="24"/>
          <w:szCs w:val="24"/>
        </w:rPr>
        <w:t>odoratum</w:t>
      </w:r>
      <w:proofErr w:type="spellEnd"/>
      <w:r w:rsidR="004C277C">
        <w:rPr>
          <w:sz w:val="24"/>
          <w:szCs w:val="24"/>
        </w:rPr>
        <w:t>,</w:t>
      </w:r>
      <w:r w:rsidR="004C277C" w:rsidRPr="004C277C">
        <w:rPr>
          <w:i/>
          <w:sz w:val="24"/>
          <w:szCs w:val="24"/>
        </w:rPr>
        <w:t xml:space="preserve"> P. </w:t>
      </w:r>
      <w:proofErr w:type="spellStart"/>
      <w:r w:rsidR="004C277C" w:rsidRPr="004C277C">
        <w:rPr>
          <w:i/>
          <w:sz w:val="24"/>
          <w:szCs w:val="24"/>
        </w:rPr>
        <w:t>multiflorum</w:t>
      </w:r>
      <w:proofErr w:type="spellEnd"/>
      <w:r w:rsidR="004C277C">
        <w:rPr>
          <w:sz w:val="24"/>
          <w:szCs w:val="24"/>
        </w:rPr>
        <w:t xml:space="preserve">, and </w:t>
      </w:r>
      <w:r w:rsidR="004C277C" w:rsidRPr="004C277C">
        <w:rPr>
          <w:i/>
          <w:sz w:val="24"/>
          <w:szCs w:val="24"/>
        </w:rPr>
        <w:t xml:space="preserve">P. </w:t>
      </w:r>
      <w:proofErr w:type="spellStart"/>
      <w:r w:rsidR="004C277C" w:rsidRPr="004C277C">
        <w:rPr>
          <w:i/>
          <w:sz w:val="24"/>
          <w:szCs w:val="24"/>
        </w:rPr>
        <w:t>cy</w:t>
      </w:r>
      <w:r w:rsidR="004C277C">
        <w:rPr>
          <w:i/>
          <w:sz w:val="24"/>
          <w:szCs w:val="24"/>
        </w:rPr>
        <w:t>rtonema</w:t>
      </w:r>
      <w:proofErr w:type="spellEnd"/>
      <w:r w:rsidR="004C277C">
        <w:rPr>
          <w:i/>
          <w:sz w:val="24"/>
          <w:szCs w:val="24"/>
        </w:rPr>
        <w:t xml:space="preserve"> </w:t>
      </w:r>
      <w:r w:rsidR="004C277C">
        <w:rPr>
          <w:sz w:val="24"/>
          <w:szCs w:val="24"/>
        </w:rPr>
        <w:t xml:space="preserve">species. </w:t>
      </w:r>
    </w:p>
    <w:p w:rsidR="00CC2806" w:rsidRDefault="00CC2806" w:rsidP="00CC2806">
      <w:pPr>
        <w:rPr>
          <w:b/>
          <w:sz w:val="24"/>
          <w:szCs w:val="24"/>
        </w:rPr>
      </w:pPr>
    </w:p>
    <w:p w:rsidR="009721ED" w:rsidRPr="00CF7610" w:rsidRDefault="009721ED" w:rsidP="009721ED">
      <w:pPr>
        <w:rPr>
          <w:sz w:val="24"/>
          <w:szCs w:val="24"/>
        </w:rPr>
      </w:pPr>
      <w:r w:rsidRPr="00EC08F8">
        <w:rPr>
          <w:b/>
          <w:sz w:val="24"/>
          <w:szCs w:val="24"/>
        </w:rPr>
        <w:t>I</w:t>
      </w:r>
      <w:r w:rsidRPr="00CF7610">
        <w:rPr>
          <w:sz w:val="24"/>
          <w:szCs w:val="24"/>
        </w:rPr>
        <w:t xml:space="preserve"> </w:t>
      </w:r>
      <w:r w:rsidR="00EC08F8">
        <w:rPr>
          <w:b/>
          <w:sz w:val="24"/>
          <w:szCs w:val="24"/>
        </w:rPr>
        <w:t xml:space="preserve">prescribe </w:t>
      </w:r>
      <w:r w:rsidRPr="00CF7610">
        <w:rPr>
          <w:b/>
          <w:sz w:val="24"/>
          <w:szCs w:val="24"/>
        </w:rPr>
        <w:t xml:space="preserve">60% </w:t>
      </w:r>
      <w:proofErr w:type="spellStart"/>
      <w:r w:rsidRPr="00CF7610">
        <w:rPr>
          <w:b/>
          <w:sz w:val="24"/>
          <w:szCs w:val="24"/>
        </w:rPr>
        <w:t>solomon’s</w:t>
      </w:r>
      <w:proofErr w:type="spellEnd"/>
      <w:r w:rsidRPr="00CF7610">
        <w:rPr>
          <w:b/>
          <w:sz w:val="24"/>
          <w:szCs w:val="24"/>
        </w:rPr>
        <w:t xml:space="preserve"> seal tincture with 20% each yew and periwinkle,</w:t>
      </w:r>
      <w:r w:rsidR="00EC08F8">
        <w:rPr>
          <w:sz w:val="24"/>
          <w:szCs w:val="24"/>
        </w:rPr>
        <w:t xml:space="preserve"> </w:t>
      </w:r>
      <w:r w:rsidR="00EC08F8" w:rsidRPr="00CF7610">
        <w:rPr>
          <w:b/>
          <w:sz w:val="24"/>
          <w:szCs w:val="24"/>
        </w:rPr>
        <w:t>take ½ tsp twice daily in juice or water</w:t>
      </w:r>
      <w:r w:rsidR="00EC08F8" w:rsidRPr="00CF7610">
        <w:rPr>
          <w:sz w:val="24"/>
          <w:szCs w:val="24"/>
        </w:rPr>
        <w:t xml:space="preserve"> – </w:t>
      </w:r>
      <w:proofErr w:type="spellStart"/>
      <w:r w:rsidR="00EC08F8" w:rsidRPr="00CF7610">
        <w:rPr>
          <w:sz w:val="24"/>
          <w:szCs w:val="24"/>
        </w:rPr>
        <w:t>eg</w:t>
      </w:r>
      <w:proofErr w:type="spellEnd"/>
      <w:r w:rsidR="00EC08F8" w:rsidRPr="00CF7610">
        <w:rPr>
          <w:sz w:val="24"/>
          <w:szCs w:val="24"/>
        </w:rPr>
        <w:t xml:space="preserve"> </w:t>
      </w:r>
      <w:r w:rsidR="00494149">
        <w:rPr>
          <w:sz w:val="24"/>
          <w:szCs w:val="24"/>
        </w:rPr>
        <w:t xml:space="preserve">shake well, put </w:t>
      </w:r>
      <w:r w:rsidR="00EC08F8" w:rsidRPr="00CF7610">
        <w:rPr>
          <w:sz w:val="24"/>
          <w:szCs w:val="24"/>
        </w:rPr>
        <w:t>1 kitchen measuring tsp in liquid, drink half in the am and half in the pm</w:t>
      </w:r>
      <w:r w:rsidR="00EC08F8">
        <w:rPr>
          <w:sz w:val="24"/>
          <w:szCs w:val="24"/>
        </w:rPr>
        <w:t xml:space="preserve">.  While nausea is theoretically possible, it has been very well tolerated and almost every cancer patient </w:t>
      </w:r>
      <w:r w:rsidRPr="00CF7610">
        <w:rPr>
          <w:sz w:val="24"/>
          <w:szCs w:val="24"/>
        </w:rPr>
        <w:t>so far has responded immediately and strong</w:t>
      </w:r>
      <w:r w:rsidR="00EC08F8">
        <w:rPr>
          <w:sz w:val="24"/>
          <w:szCs w:val="24"/>
        </w:rPr>
        <w:t xml:space="preserve">ly.  Some cases take a month or two to improve. </w:t>
      </w:r>
      <w:r w:rsidRPr="00CF7610">
        <w:rPr>
          <w:sz w:val="24"/>
          <w:szCs w:val="24"/>
        </w:rPr>
        <w:t>The yew and pe</w:t>
      </w:r>
      <w:r w:rsidR="00EC08F8">
        <w:rPr>
          <w:sz w:val="24"/>
          <w:szCs w:val="24"/>
        </w:rPr>
        <w:t xml:space="preserve">riwinkle are restricted herbs.  </w:t>
      </w:r>
      <w:r w:rsidR="00CC2806" w:rsidRPr="00CF7610">
        <w:rPr>
          <w:sz w:val="24"/>
          <w:szCs w:val="24"/>
        </w:rPr>
        <w:t>Yew (</w:t>
      </w:r>
      <w:r w:rsidR="00CC2806" w:rsidRPr="00CF7610">
        <w:rPr>
          <w:i/>
          <w:sz w:val="24"/>
          <w:szCs w:val="24"/>
        </w:rPr>
        <w:t xml:space="preserve">Taxus </w:t>
      </w:r>
      <w:proofErr w:type="spellStart"/>
      <w:r w:rsidR="00CC2806" w:rsidRPr="00CF7610">
        <w:rPr>
          <w:i/>
          <w:sz w:val="24"/>
          <w:szCs w:val="24"/>
        </w:rPr>
        <w:t>brevifolia</w:t>
      </w:r>
      <w:proofErr w:type="spellEnd"/>
      <w:r w:rsidR="00CC2806" w:rsidRPr="00CF7610">
        <w:rPr>
          <w:sz w:val="24"/>
          <w:szCs w:val="24"/>
        </w:rPr>
        <w:t xml:space="preserve">) is the source of the </w:t>
      </w:r>
      <w:proofErr w:type="spellStart"/>
      <w:r w:rsidR="00CC2806" w:rsidRPr="00CF7610">
        <w:rPr>
          <w:sz w:val="24"/>
          <w:szCs w:val="24"/>
        </w:rPr>
        <w:t>taxane</w:t>
      </w:r>
      <w:proofErr w:type="spellEnd"/>
      <w:r w:rsidR="00CC2806" w:rsidRPr="00CF7610">
        <w:rPr>
          <w:sz w:val="24"/>
          <w:szCs w:val="24"/>
        </w:rPr>
        <w:t xml:space="preserve"> family chemo drugs such</w:t>
      </w:r>
      <w:r w:rsidR="00CC2806">
        <w:rPr>
          <w:sz w:val="24"/>
          <w:szCs w:val="24"/>
        </w:rPr>
        <w:t xml:space="preserve"> as </w:t>
      </w:r>
      <w:proofErr w:type="spellStart"/>
      <w:r w:rsidR="00CC2806">
        <w:rPr>
          <w:sz w:val="24"/>
          <w:szCs w:val="24"/>
        </w:rPr>
        <w:t>Docetaxol</w:t>
      </w:r>
      <w:proofErr w:type="spellEnd"/>
      <w:r w:rsidR="00CC2806">
        <w:rPr>
          <w:sz w:val="24"/>
          <w:szCs w:val="24"/>
        </w:rPr>
        <w:t xml:space="preserve"> and Paclitaxel.  </w:t>
      </w:r>
      <w:r w:rsidR="00CC2806" w:rsidRPr="00CF7610">
        <w:rPr>
          <w:sz w:val="24"/>
          <w:szCs w:val="24"/>
        </w:rPr>
        <w:t>It ca</w:t>
      </w:r>
      <w:r w:rsidR="00CC2806">
        <w:rPr>
          <w:sz w:val="24"/>
          <w:szCs w:val="24"/>
        </w:rPr>
        <w:t>n cause nausea.  P</w:t>
      </w:r>
      <w:r w:rsidR="00CC2806" w:rsidRPr="00CF7610">
        <w:rPr>
          <w:sz w:val="24"/>
          <w:szCs w:val="24"/>
        </w:rPr>
        <w:t>eriwinkle flower (</w:t>
      </w:r>
      <w:proofErr w:type="spellStart"/>
      <w:r w:rsidR="00CC2806" w:rsidRPr="00CF7610">
        <w:rPr>
          <w:i/>
          <w:sz w:val="24"/>
          <w:szCs w:val="24"/>
        </w:rPr>
        <w:t>Catharanthus</w:t>
      </w:r>
      <w:proofErr w:type="spellEnd"/>
      <w:r w:rsidR="00CC2806" w:rsidRPr="00CF7610">
        <w:rPr>
          <w:i/>
          <w:sz w:val="24"/>
          <w:szCs w:val="24"/>
        </w:rPr>
        <w:t xml:space="preserve"> </w:t>
      </w:r>
      <w:proofErr w:type="spellStart"/>
      <w:r w:rsidR="00CC2806" w:rsidRPr="00CF7610">
        <w:rPr>
          <w:i/>
          <w:sz w:val="24"/>
          <w:szCs w:val="24"/>
        </w:rPr>
        <w:t>rosea</w:t>
      </w:r>
      <w:proofErr w:type="spellEnd"/>
      <w:r w:rsidR="00CC2806" w:rsidRPr="00CF7610">
        <w:rPr>
          <w:i/>
          <w:sz w:val="24"/>
          <w:szCs w:val="24"/>
        </w:rPr>
        <w:t xml:space="preserve"> or </w:t>
      </w:r>
      <w:proofErr w:type="spellStart"/>
      <w:r w:rsidR="00CC2806" w:rsidRPr="00CF7610">
        <w:rPr>
          <w:i/>
          <w:sz w:val="24"/>
          <w:szCs w:val="24"/>
        </w:rPr>
        <w:t>Vinca</w:t>
      </w:r>
      <w:proofErr w:type="spellEnd"/>
      <w:r w:rsidR="00CC2806" w:rsidRPr="00CF7610">
        <w:rPr>
          <w:i/>
          <w:sz w:val="24"/>
          <w:szCs w:val="24"/>
        </w:rPr>
        <w:t xml:space="preserve"> </w:t>
      </w:r>
      <w:proofErr w:type="spellStart"/>
      <w:r w:rsidR="00CC2806" w:rsidRPr="00CF7610">
        <w:rPr>
          <w:i/>
          <w:sz w:val="24"/>
          <w:szCs w:val="24"/>
        </w:rPr>
        <w:t>rosea</w:t>
      </w:r>
      <w:proofErr w:type="spellEnd"/>
      <w:r w:rsidR="00CC2806" w:rsidRPr="00CF7610">
        <w:rPr>
          <w:sz w:val="24"/>
          <w:szCs w:val="24"/>
        </w:rPr>
        <w:t xml:space="preserve">) </w:t>
      </w:r>
      <w:r w:rsidR="004259D4">
        <w:rPr>
          <w:sz w:val="24"/>
          <w:szCs w:val="24"/>
        </w:rPr>
        <w:t>is added as an anti-inflammatory.</w:t>
      </w:r>
      <w:r w:rsidR="00CC2806">
        <w:rPr>
          <w:sz w:val="24"/>
          <w:szCs w:val="24"/>
        </w:rPr>
        <w:t xml:space="preserve">  It can lower blood sugar.</w:t>
      </w:r>
      <w:r w:rsidR="00865FCA">
        <w:rPr>
          <w:sz w:val="24"/>
          <w:szCs w:val="24"/>
        </w:rPr>
        <w:t xml:space="preserve"> </w:t>
      </w:r>
      <w:r w:rsidR="00EC08F8">
        <w:rPr>
          <w:sz w:val="24"/>
          <w:szCs w:val="24"/>
        </w:rPr>
        <w:t xml:space="preserve"> </w:t>
      </w:r>
      <w:r w:rsidR="004259D4">
        <w:rPr>
          <w:sz w:val="24"/>
          <w:szCs w:val="24"/>
        </w:rPr>
        <w:t xml:space="preserve">It is not suitable for brain cancers.  </w:t>
      </w:r>
      <w:r w:rsidRPr="00CF7610">
        <w:rPr>
          <w:sz w:val="24"/>
          <w:szCs w:val="24"/>
        </w:rPr>
        <w:t xml:space="preserve">I am </w:t>
      </w:r>
      <w:r w:rsidR="00CC2806">
        <w:rPr>
          <w:sz w:val="24"/>
          <w:szCs w:val="24"/>
        </w:rPr>
        <w:t xml:space="preserve">seeing </w:t>
      </w:r>
      <w:r w:rsidRPr="00CF7610">
        <w:rPr>
          <w:sz w:val="24"/>
          <w:szCs w:val="24"/>
        </w:rPr>
        <w:t>consistent results</w:t>
      </w:r>
      <w:r w:rsidR="00CC2806">
        <w:rPr>
          <w:sz w:val="24"/>
          <w:szCs w:val="24"/>
        </w:rPr>
        <w:t xml:space="preserve"> in many different cancers. </w:t>
      </w:r>
      <w:r w:rsidRPr="00CF7610">
        <w:rPr>
          <w:sz w:val="24"/>
          <w:szCs w:val="24"/>
        </w:rPr>
        <w:t xml:space="preserve"> I do not expect everyone will tolerate it, nor do I expect it will it cure all cancers – but </w:t>
      </w:r>
      <w:r w:rsidR="00CC2806">
        <w:rPr>
          <w:sz w:val="24"/>
          <w:szCs w:val="24"/>
        </w:rPr>
        <w:t xml:space="preserve">at this point it looks like a significant breakthrough.  </w:t>
      </w:r>
      <w:r w:rsidRPr="00CF7610">
        <w:rPr>
          <w:sz w:val="24"/>
          <w:szCs w:val="24"/>
        </w:rPr>
        <w:t xml:space="preserve">It is the best thing I have found in many years of </w:t>
      </w:r>
      <w:r w:rsidR="00CC2806">
        <w:rPr>
          <w:sz w:val="24"/>
          <w:szCs w:val="24"/>
        </w:rPr>
        <w:t xml:space="preserve">practice, </w:t>
      </w:r>
      <w:r w:rsidRPr="00CF7610">
        <w:rPr>
          <w:sz w:val="24"/>
          <w:szCs w:val="24"/>
        </w:rPr>
        <w:t xml:space="preserve">scholarship and research. </w:t>
      </w:r>
    </w:p>
    <w:p w:rsidR="00C20662" w:rsidRDefault="00C20662">
      <w:pPr>
        <w:rPr>
          <w:sz w:val="24"/>
          <w:szCs w:val="24"/>
        </w:rPr>
      </w:pPr>
    </w:p>
    <w:p w:rsidR="009721ED" w:rsidRDefault="009721ED">
      <w:pPr>
        <w:rPr>
          <w:sz w:val="24"/>
          <w:szCs w:val="24"/>
        </w:rPr>
      </w:pPr>
      <w:r w:rsidRPr="00CF7610">
        <w:rPr>
          <w:sz w:val="24"/>
          <w:szCs w:val="24"/>
        </w:rPr>
        <w:t xml:space="preserve">We can add </w:t>
      </w:r>
      <w:r w:rsidR="00E20D9D">
        <w:rPr>
          <w:sz w:val="24"/>
          <w:szCs w:val="24"/>
        </w:rPr>
        <w:t xml:space="preserve">a prescription for </w:t>
      </w:r>
      <w:r w:rsidR="00E20D9D" w:rsidRPr="00E20D9D">
        <w:rPr>
          <w:b/>
          <w:sz w:val="24"/>
          <w:szCs w:val="24"/>
        </w:rPr>
        <w:t xml:space="preserve">Metformin </w:t>
      </w:r>
      <w:r w:rsidR="00E20D9D">
        <w:rPr>
          <w:sz w:val="24"/>
          <w:szCs w:val="24"/>
        </w:rPr>
        <w:t>or berberine, and IV</w:t>
      </w:r>
      <w:r w:rsidRPr="00CF7610">
        <w:rPr>
          <w:sz w:val="24"/>
          <w:szCs w:val="24"/>
        </w:rPr>
        <w:t xml:space="preserve"> alpha lipoic acid and dichloroacetate, or </w:t>
      </w:r>
      <w:r w:rsidRPr="00CC2806">
        <w:rPr>
          <w:b/>
          <w:sz w:val="24"/>
          <w:szCs w:val="24"/>
        </w:rPr>
        <w:t xml:space="preserve">nebulize </w:t>
      </w:r>
      <w:r w:rsidR="00CC2806" w:rsidRPr="00CC2806">
        <w:rPr>
          <w:b/>
          <w:sz w:val="24"/>
          <w:szCs w:val="24"/>
        </w:rPr>
        <w:t>D-ALA and DCA</w:t>
      </w:r>
      <w:r w:rsidRPr="00CF7610">
        <w:rPr>
          <w:sz w:val="24"/>
          <w:szCs w:val="24"/>
        </w:rPr>
        <w:t xml:space="preserve"> at home, if the situation is dire and requires aggressive care. </w:t>
      </w:r>
    </w:p>
    <w:p w:rsidR="00865FCA" w:rsidRDefault="00865FCA">
      <w:pPr>
        <w:rPr>
          <w:sz w:val="24"/>
          <w:szCs w:val="24"/>
        </w:rPr>
      </w:pPr>
    </w:p>
    <w:sectPr w:rsidR="00865FCA" w:rsidSect="00CF7610">
      <w:pgSz w:w="12240" w:h="15840"/>
      <w:pgMar w:top="1440" w:right="104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1108F"/>
    <w:multiLevelType w:val="hybridMultilevel"/>
    <w:tmpl w:val="CC74F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ED"/>
    <w:rsid w:val="00092301"/>
    <w:rsid w:val="00142AAE"/>
    <w:rsid w:val="002A2096"/>
    <w:rsid w:val="00384083"/>
    <w:rsid w:val="003B75BA"/>
    <w:rsid w:val="003D6E0B"/>
    <w:rsid w:val="004259D4"/>
    <w:rsid w:val="00494149"/>
    <w:rsid w:val="004C277C"/>
    <w:rsid w:val="00566547"/>
    <w:rsid w:val="005C24D4"/>
    <w:rsid w:val="006370A1"/>
    <w:rsid w:val="006C650A"/>
    <w:rsid w:val="00784E6E"/>
    <w:rsid w:val="00865FCA"/>
    <w:rsid w:val="00902401"/>
    <w:rsid w:val="00930CC4"/>
    <w:rsid w:val="009721ED"/>
    <w:rsid w:val="00AC573A"/>
    <w:rsid w:val="00BB689D"/>
    <w:rsid w:val="00BE72C6"/>
    <w:rsid w:val="00C20662"/>
    <w:rsid w:val="00C24104"/>
    <w:rsid w:val="00C64F9C"/>
    <w:rsid w:val="00C74C10"/>
    <w:rsid w:val="00CB3EFD"/>
    <w:rsid w:val="00CC2806"/>
    <w:rsid w:val="00CC5E02"/>
    <w:rsid w:val="00CF7610"/>
    <w:rsid w:val="00D1315B"/>
    <w:rsid w:val="00E20D9D"/>
    <w:rsid w:val="00E55EA3"/>
    <w:rsid w:val="00EC08F8"/>
    <w:rsid w:val="00F07FD8"/>
    <w:rsid w:val="00F45FC2"/>
    <w:rsid w:val="00F72D60"/>
    <w:rsid w:val="00FD0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32A88-C09D-451A-AAD5-FCF13B36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1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02"/>
    <w:pPr>
      <w:ind w:left="720"/>
      <w:contextualSpacing/>
    </w:pPr>
  </w:style>
  <w:style w:type="paragraph" w:styleId="BalloonText">
    <w:name w:val="Balloon Text"/>
    <w:basedOn w:val="Normal"/>
    <w:link w:val="BalloonTextChar"/>
    <w:uiPriority w:val="99"/>
    <w:semiHidden/>
    <w:unhideWhenUsed/>
    <w:rsid w:val="00930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3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Jeffrey Dach</cp:lastModifiedBy>
  <cp:revision>2</cp:revision>
  <cp:lastPrinted>2018-04-07T00:31:00Z</cp:lastPrinted>
  <dcterms:created xsi:type="dcterms:W3CDTF">2019-11-04T11:29:00Z</dcterms:created>
  <dcterms:modified xsi:type="dcterms:W3CDTF">2019-11-04T11:29:00Z</dcterms:modified>
</cp:coreProperties>
</file>